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rFonts w:ascii="Aptos" w:hAnsi="Aptos"/>
          <w:b/>
          <w:color w:val="3478B7"/>
          <w:sz w:val="16"/>
        </w:rPr>
        <w:t>TEAMSYNC</w:t>
      </w:r>
    </w:p>
    <w:p>
      <w:pPr>
        <w:pStyle w:val="Title"/>
        <w:spacing w:after="20"/>
      </w:pPr>
      <w:r>
        <w:t>Turn strengths into alignment for teams, families, couples, and groups</w:t>
      </w:r>
    </w:p>
    <w:p>
      <w:pPr>
        <w:pStyle w:val="Subtitle"/>
        <w:spacing w:after="120"/>
      </w:pPr>
      <w:r>
        <w:t>TeamSync helps people understand how strengths interact so they can plan better, communicate better, and work or live together with less friction.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88"/>
        <w:gridCol w:w="7416"/>
      </w:tblGrid>
      <w:tr>
        <w:tc>
          <w:tcPr>
            <w:tcW w:type="dxa" w:w="5184"/>
            <w:tcMar>
              <w:top w:w="70" w:type="dxa"/>
              <w:bottom w:w="70" w:type="dxa"/>
              <w:start w:w="80" w:type="dxa"/>
              <w:end w:w="80" w:type="dxa"/>
            </w:tcMar>
            <w:shd w:fill="EAF2F8"/>
            <w:vAlign w:val="center"/>
          </w:tcPr>
          <w:p>
            <w:pPr>
              <w:jc w:val="center"/>
            </w:pPr>
            <w:r>
              <w:rPr>
                <w:b/>
                <w:color w:val="204973"/>
                <w:sz w:val="20"/>
              </w:rPr>
              <w:t>Why it matters</w:t>
            </w:r>
          </w:p>
        </w:tc>
        <w:tc>
          <w:tcPr>
            <w:tcW w:type="dxa" w:w="5184"/>
            <w:tcMar>
              <w:top w:w="70" w:type="dxa"/>
              <w:bottom w:w="70" w:type="dxa"/>
              <w:start w:w="80" w:type="dxa"/>
              <w:end w:w="80" w:type="dxa"/>
            </w:tcMar>
            <w:shd w:fill="F6F9FC"/>
            <w:vAlign w:val="center"/>
          </w:tcPr>
          <w:p>
            <w:r>
              <w:rPr>
                <w:sz w:val="18"/>
              </w:rPr>
              <w:t>Groups usually do not fail from lack of talent. They fail when strengths collide, stay hidden, or are never translated into practical action.</w:t>
            </w:r>
          </w:p>
        </w:tc>
      </w:tr>
    </w:tbl>
    <w:p>
      <w:pPr>
        <w:spacing w:after="0"/>
      </w:pPr>
    </w:p>
    <w:p>
      <w:pPr>
        <w:pStyle w:val="Heading1"/>
        <w:spacing w:before="40" w:after="60"/>
      </w:pPr>
      <w:r>
        <w:t>Core use cases</w:t>
      </w:r>
    </w:p>
    <w:p>
      <w:pPr>
        <w:spacing w:after="24"/>
        <w:ind w:left="245" w:hanging="245"/>
      </w:pPr>
      <w:r>
        <w:rPr>
          <w:b/>
          <w:color w:val="3478B7"/>
        </w:rPr>
        <w:t xml:space="preserve">• </w:t>
      </w:r>
      <w:r>
        <w:t>Business teams can improve role clarity, project planning, decision flow, meeting design, and collaboration.</w:t>
      </w:r>
    </w:p>
    <w:p>
      <w:pPr>
        <w:spacing w:after="24"/>
        <w:ind w:left="245" w:hanging="245"/>
      </w:pPr>
      <w:r>
        <w:rPr>
          <w:b/>
          <w:color w:val="3478B7"/>
        </w:rPr>
        <w:t xml:space="preserve">• </w:t>
      </w:r>
      <w:r>
        <w:t>Leaders can spot where a group is over-indexed, underpowered, or exposed and rebalance work accordingly.</w:t>
      </w:r>
    </w:p>
    <w:p>
      <w:pPr>
        <w:spacing w:after="24"/>
        <w:ind w:left="245" w:hanging="245"/>
      </w:pPr>
      <w:r>
        <w:rPr>
          <w:b/>
          <w:color w:val="3478B7"/>
        </w:rPr>
        <w:t xml:space="preserve">• </w:t>
      </w:r>
      <w:r>
        <w:t>Families and couples can use it as a strengths-based relationship guide for communication, routines, conflict, parenting, and shared decisions.</w:t>
      </w:r>
    </w:p>
    <w:p>
      <w:pPr>
        <w:pStyle w:val="Heading1"/>
        <w:spacing w:before="40" w:after="60"/>
      </w:pPr>
      <w:r>
        <w:t>What users gain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392"/>
        <w:gridCol w:w="4392"/>
      </w:tblGrid>
      <w:tr>
        <w:tc>
          <w:tcPr>
            <w:tcW w:type="dxa" w:w="5184"/>
            <w:shd w:fill="DCEAF7"/>
            <w:tcMar>
              <w:top w:w="60" w:type="dxa"/>
              <w:bottom w:w="60" w:type="dxa"/>
              <w:start w:w="75" w:type="dxa"/>
              <w:end w:w="75" w:type="dxa"/>
            </w:tcMar>
          </w:tcPr>
          <w:p>
            <w:r>
              <w:rPr>
                <w:b/>
                <w:color w:val="204973"/>
                <w:sz w:val="20"/>
              </w:rPr>
              <w:t>Practical outcomes</w:t>
            </w:r>
          </w:p>
        </w:tc>
        <w:tc>
          <w:tcPr>
            <w:tcW w:type="dxa" w:w="5184"/>
            <w:shd w:fill="DCEAF7"/>
            <w:tcMar>
              <w:top w:w="60" w:type="dxa"/>
              <w:bottom w:w="60" w:type="dxa"/>
              <w:start w:w="75" w:type="dxa"/>
              <w:end w:w="75" w:type="dxa"/>
            </w:tcMar>
          </w:tcPr>
          <w:p>
            <w:r>
              <w:rPr>
                <w:b/>
                <w:color w:val="204973"/>
                <w:sz w:val="20"/>
              </w:rPr>
              <w:t>Why it is sticky</w:t>
            </w:r>
          </w:p>
        </w:tc>
      </w:tr>
      <w:tr>
        <w:tc>
          <w:tcPr>
            <w:tcW w:type="dxa" w:w="5184"/>
            <w:shd w:fill="F8FBFE"/>
            <w:tcMar>
              <w:top w:w="70" w:type="dxa"/>
              <w:bottom w:w="70" w:type="dxa"/>
              <w:start w:w="80" w:type="dxa"/>
              <w:end w:w="80" w:type="dxa"/>
            </w:tcMar>
            <w:vAlign w:val="top"/>
          </w:tcPr>
          <w:p>
            <w:pPr>
              <w:spacing w:after="20"/>
              <w:ind w:left="216" w:hanging="216"/>
            </w:pPr>
            <w:r>
              <w:rPr>
                <w:b/>
                <w:color w:val="3478B7"/>
              </w:rPr>
              <w:t xml:space="preserve">• </w:t>
            </w:r>
            <w:r>
              <w:t>Clearer division of roles and responsibilities.</w:t>
            </w:r>
          </w:p>
          <w:p>
            <w:pPr>
              <w:spacing w:after="20"/>
              <w:ind w:left="216" w:hanging="216"/>
            </w:pPr>
            <w:r>
              <w:rPr>
                <w:b/>
                <w:color w:val="3478B7"/>
              </w:rPr>
              <w:t xml:space="preserve">• </w:t>
            </w:r>
            <w:r>
              <w:t>A shared language for difference without blame.</w:t>
            </w:r>
          </w:p>
          <w:p>
            <w:pPr>
              <w:spacing w:after="20"/>
              <w:ind w:left="216" w:hanging="216"/>
            </w:pPr>
            <w:r>
              <w:rPr>
                <w:b/>
                <w:color w:val="3478B7"/>
              </w:rPr>
              <w:t xml:space="preserve">• </w:t>
            </w:r>
            <w:r>
              <w:t>Better planning for projects, learning, routines, and play.</w:t>
            </w:r>
          </w:p>
        </w:tc>
        <w:tc>
          <w:tcPr>
            <w:tcW w:type="dxa" w:w="5184"/>
            <w:shd w:fill="F8FBFE"/>
            <w:tcMar>
              <w:top w:w="70" w:type="dxa"/>
              <w:bottom w:w="70" w:type="dxa"/>
              <w:start w:w="80" w:type="dxa"/>
              <w:end w:w="80" w:type="dxa"/>
            </w:tcMar>
            <w:vAlign w:val="top"/>
          </w:tcPr>
          <w:p>
            <w:pPr>
              <w:spacing w:after="20"/>
              <w:ind w:left="216" w:hanging="216"/>
            </w:pPr>
            <w:r>
              <w:rPr>
                <w:b/>
                <w:color w:val="3478B7"/>
              </w:rPr>
              <w:t xml:space="preserve">• </w:t>
            </w:r>
            <w:r>
              <w:t>Useful for teams, families, couples, and coaches across many recurring situations.</w:t>
            </w:r>
          </w:p>
          <w:p>
            <w:pPr>
              <w:spacing w:after="20"/>
              <w:ind w:left="216" w:hanging="216"/>
            </w:pPr>
            <w:r>
              <w:rPr>
                <w:b/>
                <w:color w:val="3478B7"/>
              </w:rPr>
              <w:t xml:space="preserve">• </w:t>
            </w:r>
            <w:r>
              <w:t>Perfect for built-in scenarios and user-added real-world questions.</w:t>
            </w:r>
          </w:p>
          <w:p>
            <w:pPr>
              <w:spacing w:after="20"/>
              <w:ind w:left="216" w:hanging="216"/>
            </w:pPr>
            <w:r>
              <w:rPr>
                <w:b/>
                <w:color w:val="3478B7"/>
              </w:rPr>
              <w:t xml:space="preserve">• </w:t>
            </w:r>
            <w:r>
              <w:t>Creates natural expansion into workshops, coaching, and enterprise use.</w:t>
            </w:r>
          </w:p>
        </w:tc>
      </w:tr>
    </w:tbl>
    <w:p>
      <w:pPr>
        <w:spacing w:after="0"/>
      </w:pPr>
    </w:p>
    <w:p>
      <w:pPr>
        <w:pStyle w:val="Heading1"/>
        <w:spacing w:before="40" w:after="60"/>
      </w:pPr>
      <w:r>
        <w:t>Simple experience</w:t>
      </w:r>
    </w:p>
    <w:p>
      <w:pPr>
        <w:spacing w:after="24"/>
        <w:ind w:left="245" w:hanging="245"/>
      </w:pPr>
      <w:r>
        <w:rPr>
          <w:b/>
          <w:color w:val="3478B7"/>
        </w:rPr>
        <w:t xml:space="preserve">• </w:t>
      </w:r>
      <w:r>
        <w:t>Load Gallup strengths for two people or an entire group.</w:t>
      </w:r>
    </w:p>
    <w:p>
      <w:pPr>
        <w:spacing w:after="24"/>
        <w:ind w:left="245" w:hanging="245"/>
      </w:pPr>
      <w:r>
        <w:rPr>
          <w:b/>
          <w:color w:val="3478B7"/>
        </w:rPr>
        <w:t xml:space="preserve">• </w:t>
      </w:r>
      <w:r>
        <w:t>Ask a practical question or run a scenario.</w:t>
      </w:r>
    </w:p>
    <w:p>
      <w:pPr>
        <w:spacing w:after="24"/>
        <w:ind w:left="245" w:hanging="245"/>
      </w:pPr>
      <w:r>
        <w:rPr>
          <w:b/>
          <w:color w:val="3478B7"/>
        </w:rPr>
        <w:t xml:space="preserve">• </w:t>
      </w:r>
      <w:r>
        <w:t>Get tailored guidance grounded in the real mix of people involved.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88"/>
        <w:gridCol w:w="7416"/>
      </w:tblGrid>
      <w:tr>
        <w:tc>
          <w:tcPr>
            <w:tcW w:type="dxa" w:w="5184"/>
            <w:tcMar>
              <w:top w:w="70" w:type="dxa"/>
              <w:bottom w:w="70" w:type="dxa"/>
              <w:start w:w="80" w:type="dxa"/>
              <w:end w:w="80" w:type="dxa"/>
            </w:tcMar>
            <w:shd w:fill="EAF2F8"/>
            <w:vAlign w:val="center"/>
          </w:tcPr>
          <w:p>
            <w:pPr>
              <w:jc w:val="center"/>
            </w:pPr>
            <w:r>
              <w:rPr>
                <w:b/>
                <w:color w:val="204973"/>
                <w:sz w:val="20"/>
              </w:rPr>
              <w:t>In one line</w:t>
            </w:r>
          </w:p>
        </w:tc>
        <w:tc>
          <w:tcPr>
            <w:tcW w:type="dxa" w:w="5184"/>
            <w:tcMar>
              <w:top w:w="70" w:type="dxa"/>
              <w:bottom w:w="70" w:type="dxa"/>
              <w:start w:w="80" w:type="dxa"/>
              <w:end w:w="80" w:type="dxa"/>
            </w:tcMar>
            <w:shd w:fill="F6F9FC"/>
            <w:vAlign w:val="center"/>
          </w:tcPr>
          <w:p>
            <w:r>
              <w:rPr>
                <w:sz w:val="18"/>
              </w:rPr>
              <w:t>TeamSync turns individual strengths into shared rhythm, stronger relationships, and better collective performance.</w:t>
            </w:r>
          </w:p>
        </w:tc>
      </w:tr>
    </w:tbl>
    <w:p>
      <w:pPr>
        <w:spacing w:after="0"/>
      </w:pPr>
    </w:p>
    <w:sectPr w:rsidR="00FC693F" w:rsidRPr="0006063C" w:rsidSect="00034616">
      <w:footerReference w:type="default" r:id="rId9"/>
      <w:pgSz w:w="12240" w:h="15840"/>
      <w:pgMar w:top="720" w:right="936" w:bottom="648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F6368"/>
        <w:sz w:val="15"/>
      </w:rPr>
      <w:t>personara.ai | Strengths-based AI for identity, teams, and relationships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222222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/>
      <w:b/>
      <w:bCs/>
      <w:color w:val="204973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b/>
      <w:color w:val="204973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ptos" w:hAnsi="Aptos"/>
      <w:i/>
      <w:iCs/>
      <w:color w:val="5F6368"/>
      <w:spacing w:val="15"/>
      <w:sz w:val="1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